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CB1EA3">
      <w:pPr>
        <w:rPr>
          <w:rFonts w:hint="eastAsia"/>
          <w:sz w:val="28"/>
          <w:szCs w:val="28"/>
          <w:lang w:val="en-US" w:eastAsia="zh-CN"/>
        </w:rPr>
      </w:pPr>
      <w:bookmarkStart w:id="0" w:name="_GoBack"/>
      <w:bookmarkEnd w:id="0"/>
      <w:r>
        <w:rPr>
          <w:rFonts w:hint="eastAsia"/>
          <w:sz w:val="28"/>
          <w:szCs w:val="28"/>
          <w:lang w:val="en-US" w:eastAsia="zh-CN"/>
        </w:rPr>
        <w:t>附件：</w:t>
      </w:r>
    </w:p>
    <w:tbl>
      <w:tblPr>
        <w:tblStyle w:val="5"/>
        <w:tblW w:w="91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8"/>
        <w:gridCol w:w="783"/>
        <w:gridCol w:w="7888"/>
      </w:tblGrid>
      <w:tr w14:paraId="62E4E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8" w:type="dxa"/>
            <w:noWrap w:val="0"/>
            <w:vAlign w:val="top"/>
          </w:tcPr>
          <w:p w14:paraId="387EB11F">
            <w:pPr>
              <w:keepNext w:val="0"/>
              <w:keepLines w:val="0"/>
              <w:suppressLineNumbers w:val="0"/>
              <w:spacing w:before="0" w:beforeAutospacing="0" w:after="0" w:afterAutospacing="0" w:line="240" w:lineRule="auto"/>
              <w:ind w:left="0" w:right="0"/>
              <w:jc w:val="center"/>
              <w:rPr>
                <w:rFonts w:hint="eastAsia" w:ascii="仿宋" w:hAnsi="仿宋" w:eastAsia="仿宋" w:cs="仿宋"/>
                <w:b w:val="0"/>
                <w:bCs w:val="0"/>
                <w:color w:val="auto"/>
                <w:sz w:val="21"/>
                <w:szCs w:val="21"/>
                <w:highlight w:val="none"/>
                <w:lang w:val="en-US" w:eastAsia="zh-CN"/>
              </w:rPr>
            </w:pPr>
            <w:r>
              <w:rPr>
                <w:rFonts w:hint="eastAsia" w:ascii="仿宋" w:hAnsi="仿宋" w:eastAsia="仿宋" w:cs="仿宋"/>
                <w:b w:val="0"/>
                <w:bCs w:val="0"/>
                <w:color w:val="auto"/>
                <w:sz w:val="21"/>
                <w:szCs w:val="21"/>
                <w:highlight w:val="none"/>
                <w:lang w:val="en-US" w:eastAsia="zh-CN"/>
              </w:rPr>
              <w:t>序号</w:t>
            </w:r>
          </w:p>
        </w:tc>
        <w:tc>
          <w:tcPr>
            <w:tcW w:w="783" w:type="dxa"/>
            <w:noWrap w:val="0"/>
            <w:vAlign w:val="top"/>
          </w:tcPr>
          <w:p w14:paraId="05B5FA46">
            <w:pPr>
              <w:keepNext w:val="0"/>
              <w:keepLines w:val="0"/>
              <w:suppressLineNumbers w:val="0"/>
              <w:spacing w:before="0" w:beforeAutospacing="0" w:after="0" w:afterAutospacing="0" w:line="240" w:lineRule="auto"/>
              <w:ind w:left="0" w:right="0"/>
              <w:jc w:val="center"/>
              <w:rPr>
                <w:rFonts w:hint="eastAsia" w:ascii="仿宋" w:hAnsi="仿宋" w:eastAsia="仿宋" w:cs="仿宋"/>
                <w:b w:val="0"/>
                <w:bCs w:val="0"/>
                <w:color w:val="auto"/>
                <w:sz w:val="21"/>
                <w:szCs w:val="21"/>
                <w:highlight w:val="none"/>
                <w:lang w:val="en-US" w:eastAsia="zh-CN"/>
              </w:rPr>
            </w:pPr>
            <w:r>
              <w:rPr>
                <w:rFonts w:hint="eastAsia" w:ascii="仿宋" w:hAnsi="仿宋" w:eastAsia="仿宋" w:cs="仿宋"/>
                <w:b w:val="0"/>
                <w:bCs w:val="0"/>
                <w:color w:val="auto"/>
                <w:sz w:val="21"/>
                <w:szCs w:val="21"/>
                <w:highlight w:val="none"/>
                <w:lang w:val="en-US" w:eastAsia="zh-CN"/>
              </w:rPr>
              <w:t>模块名称</w:t>
            </w:r>
          </w:p>
        </w:tc>
        <w:tc>
          <w:tcPr>
            <w:tcW w:w="7888" w:type="dxa"/>
            <w:noWrap w:val="0"/>
            <w:vAlign w:val="center"/>
          </w:tcPr>
          <w:p w14:paraId="07BCF275">
            <w:pPr>
              <w:keepNext w:val="0"/>
              <w:keepLines w:val="0"/>
              <w:suppressLineNumbers w:val="0"/>
              <w:bidi w:val="0"/>
              <w:spacing w:before="0" w:beforeAutospacing="0" w:after="0" w:afterAutospacing="0" w:line="240" w:lineRule="auto"/>
              <w:ind w:left="0" w:right="0"/>
              <w:jc w:val="both"/>
              <w:rPr>
                <w:rFonts w:hint="eastAsia" w:ascii="仿宋" w:hAnsi="仿宋" w:eastAsia="仿宋" w:cs="仿宋"/>
                <w:b w:val="0"/>
                <w:bCs w:val="0"/>
                <w:color w:val="auto"/>
                <w:sz w:val="21"/>
                <w:szCs w:val="21"/>
                <w:highlight w:val="none"/>
                <w:lang w:val="en-US" w:eastAsia="zh-CN"/>
              </w:rPr>
            </w:pPr>
          </w:p>
          <w:p w14:paraId="334D728C">
            <w:pPr>
              <w:keepNext w:val="0"/>
              <w:keepLines w:val="0"/>
              <w:suppressLineNumbers w:val="0"/>
              <w:bidi w:val="0"/>
              <w:spacing w:before="0" w:beforeAutospacing="0" w:after="0" w:afterAutospacing="0" w:line="240" w:lineRule="auto"/>
              <w:ind w:left="0" w:right="0"/>
              <w:jc w:val="both"/>
              <w:rPr>
                <w:rFonts w:hint="eastAsia" w:ascii="仿宋" w:hAnsi="仿宋" w:eastAsia="仿宋" w:cs="仿宋"/>
                <w:b/>
                <w:bCs/>
                <w:sz w:val="21"/>
                <w:szCs w:val="21"/>
                <w:lang w:val="en-US" w:eastAsia="zh-CN"/>
              </w:rPr>
            </w:pPr>
            <w:r>
              <w:rPr>
                <w:rFonts w:hint="eastAsia" w:ascii="仿宋" w:hAnsi="仿宋" w:eastAsia="仿宋" w:cs="仿宋"/>
                <w:b w:val="0"/>
                <w:bCs w:val="0"/>
                <w:color w:val="auto"/>
                <w:sz w:val="21"/>
                <w:szCs w:val="21"/>
                <w:highlight w:val="none"/>
                <w:lang w:val="en-US" w:eastAsia="zh-CN"/>
              </w:rPr>
              <w:t>功能要求（▲</w:t>
            </w:r>
            <w:r>
              <w:rPr>
                <w:rFonts w:hint="eastAsia" w:ascii="仿宋" w:hAnsi="仿宋" w:eastAsia="仿宋" w:cs="仿宋"/>
                <w:b/>
                <w:bCs/>
                <w:color w:val="auto"/>
                <w:sz w:val="21"/>
                <w:szCs w:val="21"/>
                <w:highlight w:val="none"/>
                <w:lang w:val="en-US" w:eastAsia="zh-CN"/>
              </w:rPr>
              <w:t>参数为重要参数要求）</w:t>
            </w:r>
          </w:p>
          <w:p w14:paraId="3FB549F0">
            <w:pPr>
              <w:keepNext w:val="0"/>
              <w:keepLines w:val="0"/>
              <w:suppressLineNumbers w:val="0"/>
              <w:spacing w:before="0" w:beforeAutospacing="0" w:after="0" w:afterAutospacing="0" w:line="240" w:lineRule="auto"/>
              <w:ind w:left="0" w:right="0" w:firstLine="2940" w:firstLineChars="1400"/>
              <w:jc w:val="both"/>
              <w:rPr>
                <w:rFonts w:hint="eastAsia" w:ascii="仿宋" w:hAnsi="仿宋" w:eastAsia="仿宋" w:cs="仿宋"/>
                <w:b w:val="0"/>
                <w:bCs w:val="0"/>
                <w:color w:val="auto"/>
                <w:sz w:val="21"/>
                <w:szCs w:val="21"/>
                <w:highlight w:val="none"/>
                <w:lang w:val="en-US" w:eastAsia="zh-CN"/>
              </w:rPr>
            </w:pPr>
          </w:p>
        </w:tc>
      </w:tr>
      <w:tr w14:paraId="2EFA5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8" w:type="dxa"/>
            <w:noWrap w:val="0"/>
            <w:vAlign w:val="top"/>
          </w:tcPr>
          <w:p w14:paraId="5EE4F90B">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1</w:t>
            </w:r>
          </w:p>
        </w:tc>
        <w:tc>
          <w:tcPr>
            <w:tcW w:w="783" w:type="dxa"/>
            <w:noWrap w:val="0"/>
            <w:vAlign w:val="top"/>
          </w:tcPr>
          <w:p w14:paraId="455CDC2B">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资源及功能要求</w:t>
            </w:r>
          </w:p>
        </w:tc>
        <w:tc>
          <w:tcPr>
            <w:tcW w:w="7888" w:type="dxa"/>
            <w:noWrap w:val="0"/>
            <w:vAlign w:val="center"/>
          </w:tcPr>
          <w:p w14:paraId="009A0008">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1.能提供多种资源类型，其中必须包含图书、中文期刊、外文期刊、学位论文、会议论文、知识、文档，视频、报纸、专利、法律法规、课程等不少于 12种数据资源，且对检索结果按照文献类型分类排列。</w:t>
            </w:r>
          </w:p>
          <w:p w14:paraId="665BB8D6">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▲2.中文图书元数据不少于 600 万种，其中医学图书不低于30万种，每年图书持续更新。（提供系统证明截图）</w:t>
            </w:r>
          </w:p>
          <w:p w14:paraId="5286E300">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3.中文图书须保持纸质书原文原貌，具有在线阅读、下载原文、邮箱传递等多种获取图书途径。可实现页码跳转、在线打印、可对图书内容进行文字的摘录和图片提取并自动标识出处作为参考文献的功能。（提供系统证明截图）</w:t>
            </w:r>
          </w:p>
          <w:p w14:paraId="3CA87187">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4.平台需提供图书预览功能，可以对图书的封面页、前言页、目次页、版权页、正文部分页等进行预览。</w:t>
            </w:r>
          </w:p>
          <w:p w14:paraId="3FDE74A6">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5.能提供多种检索方式，如书名、作者、主题词等，实现图书全文获取。</w:t>
            </w:r>
          </w:p>
          <w:p w14:paraId="451BF195">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6.提供专用阅读器进行图书阅读。</w:t>
            </w:r>
          </w:p>
          <w:p w14:paraId="5F2939C4">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7.提供图书分类导航，可按不同分类进行图书查找，如精神类。</w:t>
            </w:r>
          </w:p>
          <w:p w14:paraId="1312635F">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8.实现全文内容检索；可实现章节检索并深入全书知识点的知识检索，由一个关键词可追寻到整本图书。</w:t>
            </w:r>
          </w:p>
          <w:p w14:paraId="3310BA96">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▲9.提供馆际互借功能：平台需提供支持其他图书馆单位馆藏的联合目录查询，并能实现馆际资源互借（提供系统证明截图）</w:t>
            </w:r>
          </w:p>
          <w:p w14:paraId="3AEBD398">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▲10.中文医学期刊元数据不少于 4000 种，提供期刊影响因子趋势曲线（提供系统证明截图）</w:t>
            </w:r>
          </w:p>
          <w:p w14:paraId="5646D6BF">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▲11.外文医学期刊元数据不少于 30000 种，提供期刊影响因子趋势曲线。须包括  SpringerLink、 Ebsc等多个国内常见的外文数据库。（提供系统证明截图）</w:t>
            </w:r>
          </w:p>
          <w:p w14:paraId="5B7188E7">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12.中文学位论文不少于 500 万篇。</w:t>
            </w:r>
          </w:p>
          <w:p w14:paraId="68A17AD1">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13.中文会议论文不少于 300 万篇。</w:t>
            </w:r>
          </w:p>
          <w:p w14:paraId="329882C7">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14.外文学位论文不少于 800 万篇。</w:t>
            </w:r>
          </w:p>
          <w:p w14:paraId="36B1ECE9">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15.外文会议论文不少于 500 万篇。</w:t>
            </w:r>
          </w:p>
          <w:p w14:paraId="2A5C01A9">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16.报纸不少于 5000 万篇。</w:t>
            </w:r>
          </w:p>
          <w:p w14:paraId="104F7C4B">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17.学术视频不少于 15 万集。</w:t>
            </w:r>
          </w:p>
          <w:p w14:paraId="226F1D8E">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18.资源不局限于医学，应包含其他常见学科。</w:t>
            </w:r>
          </w:p>
          <w:p w14:paraId="0263EA41">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19.有自主管理平台，管理单位下的用户注册审核及使用情况，单位下职工每个人都有独立的使用账号，不限制使用时间地点。</w:t>
            </w:r>
          </w:p>
          <w:p w14:paraId="0DC32EB9">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▲20.实现在线预约、续借、催还等功能并可根据使用科室要求，发布最新文献报道，每日荐读，并定期更新，可提供定题检索服务。（提供系统证明截图）</w:t>
            </w:r>
          </w:p>
          <w:p w14:paraId="0B546C06">
            <w:pPr>
              <w:keepNext w:val="0"/>
              <w:keepLines w:val="0"/>
              <w:suppressLineNumbers w:val="0"/>
              <w:spacing w:before="0" w:beforeAutospacing="0" w:after="0" w:afterAutospacing="0" w:line="240" w:lineRule="auto"/>
              <w:ind w:left="0" w:right="84" w:rightChars="40"/>
              <w:rPr>
                <w:rFonts w:hint="eastAsia" w:ascii="仿宋" w:hAnsi="仿宋" w:eastAsia="仿宋" w:cs="仿宋"/>
                <w:bCs/>
                <w:color w:val="auto"/>
                <w:sz w:val="21"/>
                <w:szCs w:val="21"/>
              </w:rPr>
            </w:pPr>
            <w:r>
              <w:rPr>
                <w:rFonts w:hint="eastAsia" w:ascii="仿宋" w:hAnsi="仿宋" w:eastAsia="仿宋" w:cs="仿宋"/>
                <w:b w:val="0"/>
                <w:bCs w:val="0"/>
                <w:color w:val="auto"/>
                <w:kern w:val="0"/>
                <w:sz w:val="21"/>
                <w:szCs w:val="21"/>
                <w:lang w:val="en-US" w:eastAsia="zh-CN" w:bidi="ar"/>
              </w:rPr>
              <w:t>21.</w:t>
            </w:r>
            <w:r>
              <w:rPr>
                <w:rFonts w:hint="eastAsia" w:ascii="仿宋" w:hAnsi="仿宋" w:eastAsia="仿宋" w:cs="仿宋"/>
                <w:bCs/>
                <w:color w:val="auto"/>
                <w:sz w:val="21"/>
                <w:szCs w:val="21"/>
              </w:rPr>
              <w:t>资源检索和下载响应时间不超过60秒</w:t>
            </w:r>
          </w:p>
          <w:p w14:paraId="4A7DC835">
            <w:pPr>
              <w:keepNext w:val="0"/>
              <w:keepLines w:val="0"/>
              <w:suppressLineNumbers w:val="0"/>
              <w:spacing w:before="0" w:beforeAutospacing="0" w:after="120" w:afterAutospacing="0" w:line="240" w:lineRule="auto"/>
              <w:ind w:left="0" w:right="0"/>
              <w:rPr>
                <w:rFonts w:hint="eastAsia" w:ascii="仿宋" w:hAnsi="仿宋" w:eastAsia="仿宋" w:cs="仿宋"/>
                <w:bCs/>
                <w:color w:val="auto"/>
                <w:sz w:val="21"/>
                <w:szCs w:val="21"/>
                <w:lang w:val="en-US" w:eastAsia="zh-CN"/>
              </w:rPr>
            </w:pPr>
            <w:r>
              <w:rPr>
                <w:rFonts w:hint="eastAsia" w:ascii="仿宋" w:hAnsi="仿宋" w:eastAsia="仿宋" w:cs="仿宋"/>
                <w:bCs/>
                <w:color w:val="auto"/>
                <w:sz w:val="21"/>
                <w:szCs w:val="21"/>
              </w:rPr>
              <w:t>2</w:t>
            </w:r>
            <w:r>
              <w:rPr>
                <w:rFonts w:hint="eastAsia" w:ascii="仿宋" w:hAnsi="仿宋" w:eastAsia="仿宋" w:cs="仿宋"/>
                <w:bCs/>
                <w:color w:val="auto"/>
                <w:sz w:val="21"/>
                <w:szCs w:val="21"/>
                <w:lang w:val="en-US" w:eastAsia="zh-CN"/>
              </w:rPr>
              <w:t>2</w:t>
            </w:r>
            <w:r>
              <w:rPr>
                <w:rFonts w:hint="eastAsia" w:ascii="仿宋" w:hAnsi="仿宋" w:eastAsia="仿宋" w:cs="仿宋"/>
                <w:bCs/>
                <w:color w:val="auto"/>
                <w:sz w:val="21"/>
                <w:szCs w:val="21"/>
              </w:rPr>
              <w:t>.最新期刊及论文等收录应不晚于2个月</w:t>
            </w:r>
            <w:r>
              <w:rPr>
                <w:rFonts w:hint="eastAsia" w:ascii="仿宋" w:hAnsi="仿宋" w:eastAsia="仿宋" w:cs="仿宋"/>
                <w:bCs/>
                <w:color w:val="auto"/>
                <w:sz w:val="21"/>
                <w:szCs w:val="21"/>
                <w:lang w:val="en-US" w:eastAsia="zh-CN"/>
              </w:rPr>
              <w:t>更新</w:t>
            </w:r>
          </w:p>
          <w:p w14:paraId="1B70215B">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Cs/>
                <w:color w:val="auto"/>
                <w:sz w:val="21"/>
                <w:szCs w:val="21"/>
              </w:rPr>
            </w:pPr>
            <w:r>
              <w:rPr>
                <w:rFonts w:hint="eastAsia" w:ascii="仿宋" w:hAnsi="仿宋" w:eastAsia="仿宋" w:cs="仿宋"/>
                <w:bCs/>
                <w:color w:val="auto"/>
                <w:sz w:val="21"/>
                <w:szCs w:val="21"/>
                <w:lang w:val="en-US" w:eastAsia="zh-CN"/>
              </w:rPr>
              <w:t>23.</w:t>
            </w:r>
            <w:r>
              <w:rPr>
                <w:rFonts w:hint="eastAsia" w:ascii="仿宋" w:hAnsi="仿宋" w:eastAsia="仿宋" w:cs="仿宋"/>
                <w:bCs/>
                <w:color w:val="auto"/>
                <w:sz w:val="21"/>
                <w:szCs w:val="21"/>
              </w:rPr>
              <w:t>资源支持多种主流操作系统和浏览器，方便用户在不同设备（电脑、平板、手机）上随时随地访问。</w:t>
            </w:r>
          </w:p>
          <w:p w14:paraId="6886E038">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Cs/>
                <w:color w:val="auto"/>
                <w:sz w:val="21"/>
                <w:szCs w:val="21"/>
              </w:rPr>
            </w:pPr>
            <w:r>
              <w:rPr>
                <w:rFonts w:hint="eastAsia" w:ascii="仿宋" w:hAnsi="仿宋" w:eastAsia="仿宋" w:cs="仿宋"/>
                <w:bCs/>
                <w:color w:val="auto"/>
                <w:sz w:val="21"/>
                <w:szCs w:val="21"/>
                <w:lang w:val="en-US" w:eastAsia="zh-CN"/>
              </w:rPr>
              <w:t>24.</w:t>
            </w:r>
            <w:r>
              <w:rPr>
                <w:rFonts w:hint="eastAsia" w:ascii="仿宋" w:hAnsi="仿宋" w:eastAsia="仿宋" w:cs="仿宋"/>
                <w:bCs/>
                <w:color w:val="auto"/>
                <w:sz w:val="21"/>
                <w:szCs w:val="21"/>
              </w:rPr>
              <w:t>达到医院三甲等级评审关于图书馆要求</w:t>
            </w:r>
          </w:p>
          <w:p w14:paraId="69363E96">
            <w:pPr>
              <w:keepNext w:val="0"/>
              <w:keepLines w:val="0"/>
              <w:numPr>
                <w:ilvl w:val="0"/>
                <w:numId w:val="0"/>
              </w:numPr>
              <w:suppressLineNumbers w:val="0"/>
              <w:spacing w:before="0" w:beforeAutospacing="0" w:after="120" w:afterAutospacing="0" w:line="240" w:lineRule="auto"/>
              <w:ind w:left="0" w:right="0"/>
              <w:rPr>
                <w:rFonts w:hint="eastAsia" w:ascii="仿宋" w:hAnsi="仿宋" w:eastAsia="仿宋" w:cs="仿宋"/>
                <w:b w:val="0"/>
                <w:bCs w:val="0"/>
                <w:kern w:val="0"/>
                <w:sz w:val="21"/>
                <w:szCs w:val="21"/>
                <w:lang w:val="en-US" w:eastAsia="zh-CN" w:bidi="ar"/>
              </w:rPr>
            </w:pPr>
            <w:r>
              <w:rPr>
                <w:rFonts w:hint="eastAsia" w:ascii="仿宋" w:hAnsi="仿宋" w:eastAsia="仿宋" w:cs="仿宋"/>
                <w:snapToGrid w:val="0"/>
                <w:color w:val="auto"/>
                <w:kern w:val="0"/>
                <w:sz w:val="21"/>
                <w:szCs w:val="21"/>
                <w:highlight w:val="none"/>
                <w:vertAlign w:val="baseline"/>
                <w:lang w:val="en-US" w:eastAsia="zh-CN"/>
              </w:rPr>
              <w:t>▲</w:t>
            </w:r>
            <w:r>
              <w:rPr>
                <w:rFonts w:hint="eastAsia" w:ascii="仿宋" w:hAnsi="仿宋" w:eastAsia="仿宋" w:cs="仿宋"/>
                <w:bCs/>
                <w:color w:val="auto"/>
                <w:sz w:val="21"/>
                <w:szCs w:val="21"/>
                <w:lang w:val="en-US" w:eastAsia="zh-CN"/>
              </w:rPr>
              <w:t>25.</w:t>
            </w:r>
            <w:r>
              <w:rPr>
                <w:rFonts w:hint="eastAsia" w:ascii="仿宋" w:hAnsi="仿宋" w:eastAsia="仿宋" w:cs="仿宋"/>
                <w:bCs/>
                <w:color w:val="auto"/>
                <w:sz w:val="21"/>
                <w:szCs w:val="21"/>
              </w:rPr>
              <w:t>可提供单位、科室、个人发文量统计导出功能，不少于</w:t>
            </w:r>
            <w:r>
              <w:rPr>
                <w:rFonts w:hint="eastAsia" w:ascii="仿宋" w:hAnsi="仿宋" w:eastAsia="仿宋" w:cs="仿宋"/>
                <w:bCs/>
                <w:color w:val="auto"/>
                <w:sz w:val="21"/>
                <w:szCs w:val="21"/>
                <w:lang w:val="en-US" w:eastAsia="zh-CN"/>
              </w:rPr>
              <w:t>5</w:t>
            </w:r>
            <w:r>
              <w:rPr>
                <w:rFonts w:hint="eastAsia" w:ascii="仿宋" w:hAnsi="仿宋" w:eastAsia="仿宋" w:cs="仿宋"/>
                <w:bCs/>
                <w:color w:val="auto"/>
                <w:sz w:val="21"/>
                <w:szCs w:val="21"/>
              </w:rPr>
              <w:t>种导出形式</w:t>
            </w:r>
            <w:r>
              <w:rPr>
                <w:rFonts w:hint="eastAsia" w:ascii="仿宋" w:hAnsi="仿宋" w:eastAsia="仿宋" w:cs="仿宋"/>
                <w:snapToGrid w:val="0"/>
                <w:color w:val="auto"/>
                <w:kern w:val="0"/>
                <w:sz w:val="21"/>
                <w:szCs w:val="21"/>
                <w:highlight w:val="none"/>
                <w:vertAlign w:val="baseline"/>
                <w:lang w:val="en-US" w:eastAsia="zh-CN"/>
              </w:rPr>
              <w:t>（提供系统证明截图）</w:t>
            </w:r>
          </w:p>
        </w:tc>
      </w:tr>
      <w:tr w14:paraId="68D75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8" w:type="dxa"/>
            <w:noWrap w:val="0"/>
            <w:vAlign w:val="top"/>
          </w:tcPr>
          <w:p w14:paraId="0632C878">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2</w:t>
            </w:r>
          </w:p>
        </w:tc>
        <w:tc>
          <w:tcPr>
            <w:tcW w:w="783" w:type="dxa"/>
            <w:noWrap w:val="0"/>
            <w:vAlign w:val="top"/>
          </w:tcPr>
          <w:p w14:paraId="196B7A14">
            <w:pPr>
              <w:keepNext w:val="0"/>
              <w:keepLines w:val="0"/>
              <w:widowControl w:val="0"/>
              <w:suppressLineNumbers w:val="0"/>
              <w:autoSpaceDE w:val="0"/>
              <w:autoSpaceDN/>
              <w:spacing w:before="0" w:beforeAutospacing="0" w:after="0" w:afterAutospacing="0" w:line="240" w:lineRule="auto"/>
              <w:ind w:left="0" w:leftChars="0" w:right="0"/>
              <w:jc w:val="center"/>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移动app端</w:t>
            </w:r>
          </w:p>
        </w:tc>
        <w:tc>
          <w:tcPr>
            <w:tcW w:w="7888" w:type="dxa"/>
            <w:noWrap w:val="0"/>
            <w:vAlign w:val="center"/>
          </w:tcPr>
          <w:p w14:paraId="0D849A3B">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1.APP应提供私人空间、个人信息管理、单位首页个性化需求定制等功能。实现不受时间和地点的限制，在有网络的情况下都能使用的要求。</w:t>
            </w:r>
          </w:p>
          <w:p w14:paraId="1875384F">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▲2.APP可提供通知功能，交互功能，可查看通知已读、未读情况，针对未读人员可进行电话、短信、APP通知提醒，帮助科室进行相关信息的统计，为使用人员提供更好的服务。（提供系统证明截图）</w:t>
            </w:r>
          </w:p>
          <w:p w14:paraId="244D386C">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3.提供社交窗口，全院可建立统一学习小组，部门也可建立学习小组，实现阅读学习分享，可进行阅读分享活动，发起话题讨论、签到、评分、选人等；查看具体学习情况。</w:t>
            </w:r>
          </w:p>
          <w:p w14:paraId="4209C2AE">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4.在APP可实现电子期刊检索、图书检索、论文检索等资源的一站式检索，在检索关键词后可直接展示期刊、图书、论文、学术视频等内容。</w:t>
            </w:r>
          </w:p>
          <w:p w14:paraId="06FB60F4">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5.支持检索结果筛选，支持多种筛选模式，如按时间，标题等。以便于读者快速找到所需资源。</w:t>
            </w:r>
          </w:p>
          <w:p w14:paraId="7F65CD84">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6.提供适合不同手机阅读的EPUB格式热门图书，图书分类包含医学、经典名著、小说传记、经管理财、历史军事、人生哲学、人文社科、生活保健、文学艺术、政治法律等分类，图书支持收藏、下载。</w:t>
            </w:r>
          </w:p>
          <w:p w14:paraId="76AA618D">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7.提供适合手机使用的视频，支持有声读物播放，为满足读者视听需求，内嵌资源量要求不少于1万集。</w:t>
            </w:r>
          </w:p>
          <w:p w14:paraId="7ABFAE7A">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8.医务人员可通过移动设备瞬间得到多维度学术分析支持：提供研究主题在作者、作者机构、核心期刊等方面中的统计分析；提供研究主题在各地区、各种期刊刊种等学术资源中数量所占百分比分析；提供研究主题在各类基金、科技成果在各地区等学术资源中检索结果的数据统计分析；提供研究主题在中文学科、外文学科等学术资源中所占数量分类统计。（提供系统证明截图）</w:t>
            </w:r>
          </w:p>
          <w:p w14:paraId="6D2BE6F4">
            <w:pPr>
              <w:keepNext w:val="0"/>
              <w:keepLines w:val="0"/>
              <w:widowControl w:val="0"/>
              <w:numPr>
                <w:ilvl w:val="0"/>
                <w:numId w:val="1"/>
              </w:numPr>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提供各学科图书阅读，提供查看此书被收藏人数功能、收藏功能、阅读记忆功能；提供与专题主人对话讨论平台。可以共享到个人空间，小组群组。</w:t>
            </w:r>
          </w:p>
          <w:p w14:paraId="6F4DE9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snapToGrid w:val="0"/>
                <w:color w:val="auto"/>
                <w:kern w:val="0"/>
                <w:sz w:val="21"/>
                <w:szCs w:val="21"/>
                <w:highlight w:val="none"/>
                <w:vertAlign w:val="baseline"/>
                <w:lang w:val="en-US" w:eastAsia="zh-CN"/>
              </w:rPr>
            </w:pPr>
            <w:r>
              <w:rPr>
                <w:rFonts w:hint="eastAsia" w:ascii="仿宋" w:hAnsi="仿宋" w:eastAsia="仿宋" w:cs="仿宋"/>
                <w:b w:val="0"/>
                <w:bCs w:val="0"/>
                <w:color w:val="auto"/>
                <w:kern w:val="0"/>
                <w:sz w:val="21"/>
                <w:szCs w:val="21"/>
                <w:lang w:val="en-US" w:eastAsia="zh-CN" w:bidi="ar"/>
              </w:rPr>
              <w:t>▲</w:t>
            </w:r>
            <w:r>
              <w:rPr>
                <w:rFonts w:hint="eastAsia" w:ascii="仿宋" w:hAnsi="仿宋" w:eastAsia="仿宋" w:cs="仿宋"/>
                <w:snapToGrid w:val="0"/>
                <w:color w:val="auto"/>
                <w:kern w:val="0"/>
                <w:sz w:val="21"/>
                <w:szCs w:val="21"/>
                <w:highlight w:val="none"/>
                <w:vertAlign w:val="baseline"/>
                <w:lang w:val="en-US" w:eastAsia="zh-CN"/>
              </w:rPr>
              <w:t>10.移动图书馆 APP 提供学术云盘功能及云盘空间，支持文件上传、下载，文件共享、云盘资源转发功能。</w:t>
            </w:r>
            <w:r>
              <w:rPr>
                <w:rFonts w:hint="eastAsia" w:ascii="仿宋" w:hAnsi="仿宋" w:eastAsia="仿宋" w:cs="仿宋"/>
                <w:b w:val="0"/>
                <w:bCs w:val="0"/>
                <w:kern w:val="0"/>
                <w:sz w:val="21"/>
                <w:szCs w:val="21"/>
                <w:lang w:val="en-US" w:eastAsia="zh-CN" w:bidi="ar"/>
              </w:rPr>
              <w:t>（提供系统证明截图）</w:t>
            </w:r>
          </w:p>
          <w:p w14:paraId="7C57BF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color w:val="auto"/>
                <w:kern w:val="0"/>
                <w:sz w:val="21"/>
                <w:szCs w:val="21"/>
                <w:lang w:val="en-US" w:eastAsia="zh-CN" w:bidi="ar"/>
              </w:rPr>
              <w:t>▲</w:t>
            </w:r>
            <w:r>
              <w:rPr>
                <w:rFonts w:hint="eastAsia" w:ascii="仿宋" w:hAnsi="仿宋" w:eastAsia="仿宋" w:cs="仿宋"/>
                <w:snapToGrid w:val="0"/>
                <w:color w:val="auto"/>
                <w:kern w:val="0"/>
                <w:sz w:val="21"/>
                <w:szCs w:val="21"/>
                <w:highlight w:val="none"/>
                <w:vertAlign w:val="baseline"/>
                <w:lang w:val="en-US" w:eastAsia="zh-CN"/>
              </w:rPr>
              <w:t>11.移动图书馆 APP 提供移动学术直播功能，提供即时云存储方式，无须担心手机内存，且可随时反复回播，方便再次学习，是医学管理与学习最有力的助手。</w:t>
            </w:r>
            <w:r>
              <w:rPr>
                <w:rFonts w:hint="eastAsia" w:ascii="仿宋" w:hAnsi="仿宋" w:eastAsia="仿宋" w:cs="仿宋"/>
                <w:b w:val="0"/>
                <w:bCs w:val="0"/>
                <w:kern w:val="0"/>
                <w:sz w:val="21"/>
                <w:szCs w:val="21"/>
                <w:lang w:val="en-US" w:eastAsia="zh-CN" w:bidi="ar"/>
              </w:rPr>
              <w:t>（提供系统证明截图）</w:t>
            </w:r>
          </w:p>
        </w:tc>
      </w:tr>
      <w:tr w14:paraId="4499E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8" w:type="dxa"/>
            <w:noWrap w:val="0"/>
            <w:vAlign w:val="top"/>
          </w:tcPr>
          <w:p w14:paraId="455AA124">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4</w:t>
            </w:r>
          </w:p>
        </w:tc>
        <w:tc>
          <w:tcPr>
            <w:tcW w:w="783" w:type="dxa"/>
            <w:noWrap w:val="0"/>
            <w:vAlign w:val="top"/>
          </w:tcPr>
          <w:p w14:paraId="399B76ED">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AI智能客服及AI工具</w:t>
            </w:r>
          </w:p>
          <w:p w14:paraId="5E078865">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p>
        </w:tc>
        <w:tc>
          <w:tcPr>
            <w:tcW w:w="7888" w:type="dxa"/>
            <w:noWrap w:val="0"/>
            <w:vAlign w:val="center"/>
          </w:tcPr>
          <w:p w14:paraId="6DD65AA6">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1.规则设置</w:t>
            </w:r>
          </w:p>
          <w:p w14:paraId="6CB7128B">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用户管理员可自定义添加、编辑、删除、批量导入、批量导出、批量删除较为具体的业务问答对及问答规则，可通过问答库解决重复、简单但是又需要回复的问题。</w:t>
            </w:r>
          </w:p>
          <w:p w14:paraId="03AD28C0">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2.实现服务智能问答，问答库支持智能导入，可对医院专有问题进行智能回复，对通用问题支持大模型通用回复，与读者实现智能化人机交互。</w:t>
            </w:r>
          </w:p>
          <w:p w14:paraId="599807EF">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▲3.AI回复的内容来源于正式出版的图书、期刊、论文等文献资源，保障大模型的回复可信，做到知识溯源。（提供系统证明截图）</w:t>
            </w:r>
          </w:p>
          <w:p w14:paraId="22E568AF">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4.提供论文检测查重工具，其中比对库中的数据须包含图书、报纸、期刊、网络文档等多种文献类型；且支持选择不同的比对库，包含全部全文比对库、图书全文比对库、非图书全文比对库、法律法规比对库、自建库选择进行检测，且能完成外文文献查重。（提供系统证明截图）</w:t>
            </w:r>
          </w:p>
          <w:p w14:paraId="3031229B">
            <w:pPr>
              <w:keepNext w:val="0"/>
              <w:keepLines w:val="0"/>
              <w:suppressLineNumbers w:val="0"/>
              <w:spacing w:before="0" w:beforeAutospacing="0" w:after="0" w:afterAutospacing="0" w:line="240" w:lineRule="auto"/>
              <w:ind w:left="0" w:right="0"/>
              <w:rPr>
                <w:rFonts w:hint="eastAsia" w:ascii="仿宋" w:hAnsi="仿宋" w:eastAsia="仿宋" w:cs="仿宋"/>
                <w:bCs/>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val="0"/>
                <w:kern w:val="0"/>
                <w:sz w:val="21"/>
                <w:szCs w:val="21"/>
                <w:lang w:val="en-US" w:eastAsia="zh-CN" w:bidi="ar"/>
              </w:rPr>
              <w:t>▲</w:t>
            </w:r>
            <w:r>
              <w:rPr>
                <w:rFonts w:hint="eastAsia" w:ascii="仿宋" w:hAnsi="仿宋" w:eastAsia="仿宋" w:cs="仿宋"/>
                <w:bCs/>
                <w:color w:val="000000" w:themeColor="text1"/>
                <w:sz w:val="21"/>
                <w:szCs w:val="21"/>
                <w:highlight w:val="none"/>
                <w:lang w:val="en-US" w:eastAsia="zh-CN"/>
                <w14:textFill>
                  <w14:solidFill>
                    <w14:schemeClr w14:val="tx1"/>
                  </w14:solidFill>
                </w14:textFill>
              </w:rPr>
              <w:t>5.</w:t>
            </w:r>
            <w:r>
              <w:rPr>
                <w:rFonts w:hint="eastAsia" w:ascii="仿宋" w:hAnsi="仿宋" w:eastAsia="仿宋" w:cs="仿宋"/>
                <w:bCs/>
                <w:color w:val="000000" w:themeColor="text1"/>
                <w:sz w:val="21"/>
                <w:szCs w:val="21"/>
                <w:highlight w:val="none"/>
                <w14:textFill>
                  <w14:solidFill>
                    <w14:schemeClr w14:val="tx1"/>
                  </w14:solidFill>
                </w14:textFill>
              </w:rPr>
              <w:t>提供</w:t>
            </w:r>
            <w:r>
              <w:rPr>
                <w:rFonts w:hint="eastAsia" w:ascii="仿宋" w:hAnsi="仿宋" w:eastAsia="仿宋" w:cs="仿宋"/>
                <w:bCs/>
                <w:color w:val="000000" w:themeColor="text1"/>
                <w:sz w:val="21"/>
                <w:szCs w:val="21"/>
                <w:highlight w:val="none"/>
                <w:lang w:val="en-US" w:eastAsia="zh-CN"/>
                <w14:textFill>
                  <w14:solidFill>
                    <w14:schemeClr w14:val="tx1"/>
                  </w14:solidFill>
                </w14:textFill>
              </w:rPr>
              <w:t>文本分析</w:t>
            </w:r>
            <w:r>
              <w:rPr>
                <w:rFonts w:hint="eastAsia" w:ascii="仿宋" w:hAnsi="仿宋" w:eastAsia="仿宋" w:cs="仿宋"/>
                <w:bCs/>
                <w:color w:val="000000" w:themeColor="text1"/>
                <w:sz w:val="21"/>
                <w:szCs w:val="21"/>
                <w:highlight w:val="none"/>
                <w14:textFill>
                  <w14:solidFill>
                    <w14:schemeClr w14:val="tx1"/>
                  </w14:solidFill>
                </w14:textFill>
              </w:rPr>
              <w:t>工具，可对于原文进行分析，支持按人物、机构、地名多维度信息抽取词云，并按照出现频次大小区分显示；可将复杂的概念和关系可视化，支持按照脑图查看，帮助知识整理和信息归纳；支持按照章节查看系统生成的相关试题，试题可以章节为维度进行筛选，生成的试题均为本章节相关内容试题。</w:t>
            </w:r>
            <w:r>
              <w:rPr>
                <w:rFonts w:hint="eastAsia" w:ascii="仿宋" w:hAnsi="仿宋" w:eastAsia="仿宋" w:cs="仿宋"/>
                <w:b w:val="0"/>
                <w:bCs w:val="0"/>
                <w:kern w:val="0"/>
                <w:sz w:val="21"/>
                <w:szCs w:val="21"/>
                <w:lang w:val="en-US" w:eastAsia="zh-CN" w:bidi="ar"/>
              </w:rPr>
              <w:t>（提供系统证明截图）</w:t>
            </w:r>
          </w:p>
          <w:p w14:paraId="4612465C">
            <w:pPr>
              <w:keepNext w:val="0"/>
              <w:keepLines w:val="0"/>
              <w:numPr>
                <w:ilvl w:val="0"/>
                <w:numId w:val="0"/>
              </w:numPr>
              <w:suppressLineNumbers w:val="0"/>
              <w:spacing w:before="0" w:beforeAutospacing="0" w:after="0" w:afterAutospacing="0" w:line="240" w:lineRule="auto"/>
              <w:ind w:left="0" w:right="0"/>
              <w:rPr>
                <w:rFonts w:hint="eastAsia" w:ascii="仿宋" w:hAnsi="仿宋" w:eastAsia="仿宋" w:cs="仿宋"/>
                <w:bCs/>
                <w:color w:val="auto"/>
                <w:sz w:val="21"/>
                <w:szCs w:val="21"/>
                <w:highlight w:val="none"/>
                <w:lang w:val="en-US" w:eastAsia="zh-CN"/>
              </w:rPr>
            </w:pPr>
            <w:r>
              <w:rPr>
                <w:rFonts w:hint="eastAsia" w:ascii="仿宋" w:hAnsi="仿宋" w:eastAsia="仿宋" w:cs="仿宋"/>
                <w:b w:val="0"/>
                <w:bCs w:val="0"/>
                <w:color w:val="auto"/>
                <w:kern w:val="0"/>
                <w:sz w:val="21"/>
                <w:szCs w:val="21"/>
                <w:lang w:val="en-US" w:eastAsia="zh-CN" w:bidi="ar"/>
              </w:rPr>
              <w:t>▲</w:t>
            </w:r>
            <w:r>
              <w:rPr>
                <w:rFonts w:hint="eastAsia" w:ascii="仿宋" w:hAnsi="仿宋" w:eastAsia="仿宋" w:cs="仿宋"/>
                <w:bCs/>
                <w:color w:val="auto"/>
                <w:sz w:val="21"/>
                <w:szCs w:val="21"/>
                <w:highlight w:val="none"/>
                <w:lang w:val="en-US" w:eastAsia="zh-CN"/>
              </w:rPr>
              <w:t>6.</w:t>
            </w:r>
            <w:r>
              <w:rPr>
                <w:rFonts w:hint="eastAsia" w:ascii="仿宋" w:hAnsi="仿宋" w:eastAsia="仿宋" w:cs="仿宋"/>
                <w:bCs/>
                <w:color w:val="auto"/>
                <w:sz w:val="21"/>
                <w:szCs w:val="21"/>
                <w:highlight w:val="none"/>
              </w:rPr>
              <w:t>提供视频</w:t>
            </w:r>
            <w:r>
              <w:rPr>
                <w:rFonts w:hint="eastAsia" w:ascii="仿宋" w:hAnsi="仿宋" w:eastAsia="仿宋" w:cs="仿宋"/>
                <w:bCs/>
                <w:color w:val="auto"/>
                <w:sz w:val="21"/>
                <w:szCs w:val="21"/>
                <w:highlight w:val="none"/>
                <w:lang w:val="en-US" w:eastAsia="zh-CN"/>
              </w:rPr>
              <w:t>分析</w:t>
            </w:r>
            <w:r>
              <w:rPr>
                <w:rFonts w:hint="eastAsia" w:ascii="仿宋" w:hAnsi="仿宋" w:eastAsia="仿宋" w:cs="仿宋"/>
                <w:bCs/>
                <w:color w:val="auto"/>
                <w:sz w:val="21"/>
                <w:szCs w:val="21"/>
                <w:highlight w:val="none"/>
              </w:rPr>
              <w:t>工具，支持上传视频，可对视频内容进行解析，可根据视频内容生成问答、词云、摘要、脑图、试题、字幕。</w:t>
            </w:r>
            <w:r>
              <w:rPr>
                <w:rFonts w:hint="eastAsia" w:ascii="仿宋" w:hAnsi="仿宋" w:eastAsia="仿宋" w:cs="仿宋"/>
                <w:b w:val="0"/>
                <w:bCs w:val="0"/>
                <w:kern w:val="0"/>
                <w:sz w:val="21"/>
                <w:szCs w:val="21"/>
                <w:lang w:val="en-US" w:eastAsia="zh-CN" w:bidi="ar"/>
              </w:rPr>
              <w:t>（提供系统证明截图）</w:t>
            </w:r>
          </w:p>
          <w:p w14:paraId="0E609508">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7.提供专业外文翻译工具，支持用户自行上传文件进行翻译，可实现英文、日文、法文、韩文等与中文互译。支持翻译文章下载，支持翻译记录储存。</w:t>
            </w:r>
          </w:p>
          <w:p w14:paraId="20C6859C">
            <w:pPr>
              <w:keepNext w:val="0"/>
              <w:keepLines w:val="0"/>
              <w:widowControl w:val="0"/>
              <w:suppressLineNumbers w:val="0"/>
              <w:autoSpaceDE w:val="0"/>
              <w:autoSpaceDN/>
              <w:spacing w:before="0" w:beforeAutospacing="0" w:after="0" w:afterAutospacing="0" w:line="240" w:lineRule="auto"/>
              <w:ind w:left="0" w:leftChars="0" w:right="0"/>
              <w:jc w:val="both"/>
              <w:rPr>
                <w:rFonts w:hint="eastAsia" w:ascii="仿宋" w:hAnsi="仿宋" w:eastAsia="仿宋" w:cs="仿宋"/>
                <w:b w:val="0"/>
                <w:bCs w:val="0"/>
                <w:kern w:val="0"/>
                <w:sz w:val="21"/>
                <w:szCs w:val="21"/>
                <w:lang w:val="en-US" w:eastAsia="zh-CN" w:bidi="ar"/>
              </w:rPr>
            </w:pPr>
            <w:r>
              <w:rPr>
                <w:rFonts w:hint="eastAsia" w:ascii="仿宋" w:hAnsi="仿宋" w:eastAsia="仿宋" w:cs="仿宋"/>
                <w:b w:val="0"/>
                <w:bCs w:val="0"/>
                <w:kern w:val="0"/>
                <w:sz w:val="21"/>
                <w:szCs w:val="21"/>
                <w:lang w:val="en-US" w:eastAsia="zh-CN" w:bidi="ar"/>
              </w:rPr>
              <w:t>提供文本分析工具，可对于原文进行分析，支持按人物、机构、地名多维度信息抽取词云，并按照出现频次大小区分显示；可将复杂的概念和关系可视化，支持按照脑图查看，帮助知识整理和信息归纳；支持按照章节查看系统生成的相关试题，试题可以章节为维度进行筛选，生成的试题均为本章节相关内容试题。</w:t>
            </w:r>
          </w:p>
        </w:tc>
      </w:tr>
    </w:tbl>
    <w:p w14:paraId="33C25B16">
      <w:pPr>
        <w:rPr>
          <w:rFonts w:hint="eastAsia"/>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F68328"/>
    <w:multiLevelType w:val="singleLevel"/>
    <w:tmpl w:val="BFF68328"/>
    <w:lvl w:ilvl="0" w:tentative="0">
      <w:start w:val="9"/>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EC0209"/>
    <w:rsid w:val="50E11695"/>
    <w:rsid w:val="666865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3005</Words>
  <Characters>3155</Characters>
  <Lines>0</Lines>
  <Paragraphs>0</Paragraphs>
  <TotalTime>15</TotalTime>
  <ScaleCrop>false</ScaleCrop>
  <LinksUpToDate>false</LinksUpToDate>
  <CharactersWithSpaces>3186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2026-10-10T02:12:00Z</dcterms:created>
  <dc:creator>56484</dc:creator>
  <cp:lastModifiedBy>WPS_1560311285</cp:lastModifiedBy>
  <dcterms:modified xsi:type="dcterms:W3CDTF">2026-10-13T02:44:27Z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eyJoZGlkIjoiMzFhOTA0ZWNmYjFmYzFjYjJjMzdmZGVkN2JiNWM2NzIiLCJ1c2VySWQiOiI1NzcxMjE3MDIifQ==</vt:lpwstr>
  </property>
  <property fmtid="{D5CDD505-2E9C-101B-9397-08002B2CF9AE}" pid="4" name="ICV">
    <vt:lpwstr>E8B3CCA51528406081B5E12E8467150A_13</vt:lpwstr>
  </property>
</Properties>
</file>